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61" w:rsidRDefault="00092C61">
      <w:pPr>
        <w:jc w:val="center"/>
        <w:rPr>
          <w:b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jc w:val="center"/>
        <w:rPr>
          <w:b/>
          <w:u w:val="single"/>
        </w:rPr>
      </w:pPr>
      <w:smartTag w:uri="urn:schemas-microsoft-com:office:smarttags" w:element="State">
        <w:smartTag w:uri="urn:schemas-microsoft-com:office:smarttags" w:element="place">
          <w:r>
            <w:rPr>
              <w:b/>
              <w:u w:val="single"/>
            </w:rPr>
            <w:t>Texas</w:t>
          </w:r>
        </w:smartTag>
      </w:smartTag>
      <w:r>
        <w:rPr>
          <w:b/>
          <w:u w:val="single"/>
        </w:rPr>
        <w:t xml:space="preserve"> Instruments</w:t>
      </w:r>
    </w:p>
    <w:p w:rsidR="00092C61" w:rsidRDefault="00092C61">
      <w:pPr>
        <w:jc w:val="center"/>
        <w:rPr>
          <w:b/>
          <w:u w:val="single"/>
        </w:rPr>
      </w:pPr>
    </w:p>
    <w:p w:rsidR="00D16524" w:rsidRDefault="008B7BF2" w:rsidP="007E1CD2">
      <w:pPr>
        <w:jc w:val="center"/>
        <w:rPr>
          <w:b/>
          <w:u w:val="single"/>
        </w:rPr>
      </w:pPr>
      <w:r>
        <w:rPr>
          <w:b/>
          <w:u w:val="single"/>
        </w:rPr>
        <w:t>PWR</w:t>
      </w:r>
      <w:r w:rsidR="006574C5">
        <w:rPr>
          <w:b/>
          <w:u w:val="single"/>
        </w:rPr>
        <w:t>167</w:t>
      </w:r>
      <w:r w:rsidR="007E1CD2">
        <w:rPr>
          <w:b/>
          <w:u w:val="single"/>
        </w:rPr>
        <w:t>D</w:t>
      </w:r>
      <w:r w:rsidR="00092C61">
        <w:rPr>
          <w:b/>
          <w:u w:val="single"/>
        </w:rPr>
        <w:t xml:space="preserve"> Test Procedure</w:t>
      </w:r>
      <w:r w:rsidR="000B2A88">
        <w:rPr>
          <w:b/>
          <w:u w:val="single"/>
        </w:rPr>
        <w:t xml:space="preserve"> </w:t>
      </w:r>
    </w:p>
    <w:p w:rsidR="00092C61" w:rsidRDefault="00092C61">
      <w:pPr>
        <w:jc w:val="center"/>
        <w:rPr>
          <w:b/>
          <w:u w:val="single"/>
        </w:rPr>
      </w:pPr>
    </w:p>
    <w:p w:rsidR="00092C61" w:rsidRDefault="007E1CD2" w:rsidP="00D058C5">
      <w:pPr>
        <w:jc w:val="center"/>
        <w:rPr>
          <w:b/>
          <w:u w:val="single"/>
        </w:rPr>
      </w:pPr>
      <w:r>
        <w:rPr>
          <w:b/>
          <w:u w:val="single"/>
        </w:rPr>
        <w:t>May</w:t>
      </w:r>
      <w:r w:rsidR="00D42DAA">
        <w:rPr>
          <w:b/>
          <w:u w:val="single"/>
        </w:rPr>
        <w:t xml:space="preserve"> </w:t>
      </w:r>
      <w:r>
        <w:rPr>
          <w:b/>
          <w:u w:val="single"/>
        </w:rPr>
        <w:t>22</w:t>
      </w:r>
      <w:r w:rsidR="00D42DAA">
        <w:rPr>
          <w:b/>
          <w:u w:val="single"/>
        </w:rPr>
        <w:t>, 2013</w:t>
      </w:r>
    </w:p>
    <w:p w:rsidR="00D42DAA" w:rsidRDefault="00D42DAA" w:rsidP="00D42DAA">
      <w:pPr>
        <w:ind w:left="0"/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ind w:left="0"/>
        <w:rPr>
          <w:b/>
          <w:u w:val="single"/>
        </w:rPr>
      </w:pPr>
    </w:p>
    <w:p w:rsidR="00092C61" w:rsidRDefault="00092C61">
      <w:pPr>
        <w:ind w:left="0"/>
        <w:rPr>
          <w:b/>
          <w:u w:val="single"/>
        </w:rPr>
      </w:pPr>
    </w:p>
    <w:p w:rsidR="00092C61" w:rsidRDefault="00092C61">
      <w:pPr>
        <w:ind w:left="0"/>
        <w:rPr>
          <w:b/>
          <w:u w:val="single"/>
        </w:rPr>
      </w:pPr>
    </w:p>
    <w:p w:rsidR="00092C61" w:rsidRDefault="00092C61">
      <w:pPr>
        <w:ind w:left="0"/>
        <w:rPr>
          <w:b/>
          <w:u w:val="single"/>
        </w:rPr>
      </w:pPr>
    </w:p>
    <w:p w:rsidR="00092C61" w:rsidRDefault="00092C61">
      <w:pPr>
        <w:ind w:left="0"/>
        <w:rPr>
          <w:b/>
          <w:u w:val="single"/>
        </w:rPr>
      </w:pPr>
    </w:p>
    <w:p w:rsidR="00092C61" w:rsidRDefault="00092C61">
      <w:pPr>
        <w:rPr>
          <w:b/>
          <w:u w:val="single"/>
        </w:rPr>
      </w:pPr>
    </w:p>
    <w:p w:rsidR="00092C61" w:rsidRDefault="00092C61">
      <w:pPr>
        <w:pStyle w:val="Heading1"/>
      </w:pPr>
      <w:r>
        <w:lastRenderedPageBreak/>
        <w:t>GENERAL</w:t>
      </w:r>
    </w:p>
    <w:p w:rsidR="00092C61" w:rsidRDefault="00092C61">
      <w:pPr>
        <w:pStyle w:val="Heading2"/>
      </w:pPr>
      <w:r>
        <w:t>PURPOSE</w:t>
      </w:r>
    </w:p>
    <w:p w:rsidR="00092C61" w:rsidRDefault="00092C61">
      <w:pPr>
        <w:pStyle w:val="BodyTextIndent"/>
      </w:pPr>
      <w:r>
        <w:t xml:space="preserve">The purpose of this document is to provide detailed instructions for testing the </w:t>
      </w:r>
      <w:r w:rsidR="006574C5">
        <w:t>PWR167</w:t>
      </w:r>
      <w:r>
        <w:t xml:space="preserve"> modules (</w:t>
      </w:r>
      <w:r w:rsidR="007E1CD2">
        <w:t>LMZ34002</w:t>
      </w:r>
      <w:r w:rsidR="00FD7446">
        <w:t>EVM-001</w:t>
      </w:r>
      <w:r>
        <w:t>).</w:t>
      </w:r>
    </w:p>
    <w:p w:rsidR="00092C61" w:rsidRDefault="00092C61">
      <w:pPr>
        <w:pStyle w:val="Heading2"/>
      </w:pPr>
      <w:r>
        <w:t>SCOPE</w:t>
      </w:r>
    </w:p>
    <w:p w:rsidR="0048760A" w:rsidRDefault="00092C61" w:rsidP="00F73D9A">
      <w:r>
        <w:t xml:space="preserve">This document covers complete instructions for testing </w:t>
      </w:r>
      <w:r w:rsidR="006574C5">
        <w:t>PWR167</w:t>
      </w:r>
      <w:r w:rsidR="008B7BF2">
        <w:t xml:space="preserve"> (</w:t>
      </w:r>
      <w:r w:rsidR="007E1CD2">
        <w:t>LMZ34002</w:t>
      </w:r>
      <w:r w:rsidR="00FD7446">
        <w:t>EVM-001)</w:t>
      </w:r>
      <w:r w:rsidR="008B7BF2">
        <w:t>.</w:t>
      </w:r>
      <w:r>
        <w:t xml:space="preserve"> Upon completion of this procedure, all units will be categorized as either conforming or non-conforming material and dispositioned accordingly</w:t>
      </w:r>
      <w:r w:rsidR="0048760A">
        <w:t>.</w:t>
      </w:r>
    </w:p>
    <w:p w:rsidR="0048760A" w:rsidRDefault="0048760A" w:rsidP="00F73D9A"/>
    <w:p w:rsidR="00092C61" w:rsidRDefault="00092C61" w:rsidP="0048760A">
      <w:pPr>
        <w:pStyle w:val="Heading2"/>
      </w:pPr>
      <w:r>
        <w:t>REFERENCE DOCUMENTATION</w:t>
      </w:r>
    </w:p>
    <w:p w:rsidR="00092C61" w:rsidRDefault="00092C61"/>
    <w:p w:rsidR="00F67EF4" w:rsidRDefault="00092C61" w:rsidP="00F67EF4">
      <w:pPr>
        <w:pStyle w:val="BodyTextIndent"/>
        <w:numPr>
          <w:ilvl w:val="0"/>
          <w:numId w:val="9"/>
        </w:numPr>
      </w:pPr>
      <w:r>
        <w:t xml:space="preserve">Schematic </w:t>
      </w:r>
      <w:r w:rsidR="006574C5">
        <w:t>PWR167</w:t>
      </w:r>
    </w:p>
    <w:p w:rsidR="00092C61" w:rsidRDefault="006574C5" w:rsidP="00F67EF4">
      <w:pPr>
        <w:pStyle w:val="BodyTextIndent"/>
        <w:numPr>
          <w:ilvl w:val="0"/>
          <w:numId w:val="9"/>
        </w:numPr>
      </w:pPr>
      <w:r>
        <w:t>PWR167</w:t>
      </w:r>
      <w:r w:rsidR="00092C61">
        <w:t xml:space="preserve"> Assembly DWGs </w:t>
      </w:r>
    </w:p>
    <w:p w:rsidR="00092C61" w:rsidRDefault="00092C61">
      <w:pPr>
        <w:pStyle w:val="Heading2"/>
      </w:pPr>
      <w:r>
        <w:t>MATERIALS</w:t>
      </w:r>
    </w:p>
    <w:p w:rsidR="00092C61" w:rsidRDefault="00092C61">
      <w:pPr>
        <w:pStyle w:val="Heading3"/>
      </w:pPr>
      <w:r>
        <w:rPr>
          <w:i/>
          <w:u w:val="single"/>
        </w:rPr>
        <w:t>Test Log:</w:t>
      </w:r>
      <w:r>
        <w:t xml:space="preserve"> A test log is not required for this procedure.</w:t>
      </w:r>
    </w:p>
    <w:p w:rsidR="00092C61" w:rsidRDefault="00092C61">
      <w:pPr>
        <w:pStyle w:val="Heading2"/>
      </w:pPr>
      <w:r>
        <w:t>DEFINITIONS</w:t>
      </w:r>
    </w:p>
    <w:p w:rsidR="00092C61" w:rsidRDefault="00092C61">
      <w:r>
        <w:t>N/A</w:t>
      </w:r>
    </w:p>
    <w:p w:rsidR="00092C61" w:rsidRDefault="00092C61"/>
    <w:p w:rsidR="00092C61" w:rsidRDefault="00092C61">
      <w:pPr>
        <w:pStyle w:val="Heading1"/>
      </w:pPr>
      <w:r>
        <w:t>SAFETY</w:t>
      </w:r>
    </w:p>
    <w:p w:rsidR="00092C61" w:rsidRDefault="00092C61">
      <w:pPr>
        <w:pStyle w:val="Heading2"/>
      </w:pPr>
      <w:r>
        <w:t>EYE PROTECTION</w:t>
      </w:r>
    </w:p>
    <w:p w:rsidR="00092C61" w:rsidRDefault="00092C61">
      <w:r>
        <w:t>Safety Glasses are to be worn while performing all testing.</w:t>
      </w:r>
    </w:p>
    <w:p w:rsidR="00092C61" w:rsidRDefault="00092C61">
      <w:pPr>
        <w:pStyle w:val="Heading2"/>
      </w:pPr>
      <w:r>
        <w:t>GENERAL RISKS</w:t>
      </w:r>
    </w:p>
    <w:p w:rsidR="00092C61" w:rsidRDefault="00092C61">
      <w:r>
        <w:t>This test must be performed by qualified personnel trained in electronics theory and understand the risks and hazards of the assembly to be tested.</w:t>
      </w:r>
    </w:p>
    <w:p w:rsidR="00092C61" w:rsidRDefault="00092C61">
      <w:pPr>
        <w:pStyle w:val="Heading2"/>
      </w:pPr>
      <w:r>
        <w:t>ELECTROSTATIC DISCHARGE</w:t>
      </w:r>
    </w:p>
    <w:p w:rsidR="00092C61" w:rsidRDefault="00092C61">
      <w:r>
        <w:t>ESD precautions must be followed while handling electronic assemblies.</w:t>
      </w:r>
    </w:p>
    <w:p w:rsidR="00092C61" w:rsidRDefault="00092C61">
      <w:pPr>
        <w:pStyle w:val="Heading2"/>
      </w:pPr>
      <w:r>
        <w:t>THERMAL/SHOCK HAZARDS</w:t>
      </w:r>
    </w:p>
    <w:p w:rsidR="00092C61" w:rsidRDefault="00092C61">
      <w:r>
        <w:t>Precautions should be observed to avoid touching areas of the assembly that may get hot or present a shock hazard during testing.</w:t>
      </w:r>
    </w:p>
    <w:p w:rsidR="00092C61" w:rsidRDefault="00092C61"/>
    <w:p w:rsidR="00092C61" w:rsidRDefault="00092C61">
      <w:pPr>
        <w:pStyle w:val="Heading1"/>
      </w:pPr>
      <w:r>
        <w:t>QUALITY</w:t>
      </w:r>
    </w:p>
    <w:p w:rsidR="00092C61" w:rsidRDefault="00092C61">
      <w:pPr>
        <w:pStyle w:val="Heading2"/>
      </w:pPr>
      <w:r>
        <w:t>DATA PRESERVATION</w:t>
      </w:r>
    </w:p>
    <w:p w:rsidR="00092C61" w:rsidRDefault="00092C61">
      <w:r>
        <w:t xml:space="preserve">Recorded test data is not required for this procedure. </w:t>
      </w:r>
    </w:p>
    <w:p w:rsidR="00092C61" w:rsidRDefault="00092C61"/>
    <w:p w:rsidR="00092C61" w:rsidRDefault="00092C61"/>
    <w:p w:rsidR="00092C61" w:rsidRDefault="00092C61"/>
    <w:p w:rsidR="00092C61" w:rsidRDefault="00092C61"/>
    <w:p w:rsidR="00092C61" w:rsidRDefault="00092C61"/>
    <w:p w:rsidR="00092C61" w:rsidRDefault="00092C61">
      <w:pPr>
        <w:pStyle w:val="Heading1"/>
      </w:pPr>
      <w:r>
        <w:lastRenderedPageBreak/>
        <w:t>APPAREL</w:t>
      </w:r>
    </w:p>
    <w:p w:rsidR="00092C61" w:rsidRDefault="00092C61">
      <w:pPr>
        <w:pStyle w:val="Heading2"/>
      </w:pPr>
      <w:r>
        <w:t>ELECTROSTATIC SMOCK</w:t>
      </w:r>
    </w:p>
    <w:p w:rsidR="00092C61" w:rsidRDefault="00092C61">
      <w:pPr>
        <w:pStyle w:val="Heading2"/>
      </w:pPr>
      <w:r>
        <w:t>ELECTROSTATIC GLOVES OR FINGER COTS</w:t>
      </w:r>
    </w:p>
    <w:p w:rsidR="00092C61" w:rsidRDefault="00092C61">
      <w:pPr>
        <w:pStyle w:val="Heading2"/>
      </w:pPr>
      <w:r>
        <w:t>SAFETY GLASSES</w:t>
      </w:r>
    </w:p>
    <w:p w:rsidR="00092C61" w:rsidRDefault="00092C61">
      <w:pPr>
        <w:pStyle w:val="Heading2"/>
      </w:pPr>
      <w:r>
        <w:t>GROUND ESD WRIST STRAP</w:t>
      </w:r>
    </w:p>
    <w:p w:rsidR="00092C61" w:rsidRDefault="00092C61">
      <w:pPr>
        <w:rPr>
          <w:b/>
          <w:u w:val="single"/>
        </w:rPr>
      </w:pPr>
    </w:p>
    <w:p w:rsidR="00092C61" w:rsidRDefault="00092C61">
      <w:pPr>
        <w:pStyle w:val="Heading1"/>
      </w:pPr>
      <w:r>
        <w:t>EQUIPMENT</w:t>
      </w:r>
    </w:p>
    <w:p w:rsidR="00092C61" w:rsidRDefault="00092C61">
      <w:pPr>
        <w:pStyle w:val="Heading2"/>
      </w:pPr>
      <w:r>
        <w:t>POWER SUPPLIES</w:t>
      </w:r>
    </w:p>
    <w:p w:rsidR="00092C61" w:rsidRDefault="00092C61">
      <w:pPr>
        <w:ind w:left="0" w:firstLine="720"/>
      </w:pPr>
      <w:r>
        <w:t>A power supply capa</w:t>
      </w:r>
      <w:r w:rsidR="00A34889">
        <w:t xml:space="preserve">ble of supplying </w:t>
      </w:r>
      <w:r w:rsidR="00FD7446">
        <w:t>40</w:t>
      </w:r>
      <w:r w:rsidR="008B7BF2">
        <w:t>.0</w:t>
      </w:r>
      <w:r w:rsidR="00A34889">
        <w:t xml:space="preserve"> volts @ </w:t>
      </w:r>
      <w:r w:rsidR="00FD7446">
        <w:t>3</w:t>
      </w:r>
      <w:r>
        <w:t xml:space="preserve"> amps is required to supply V</w:t>
      </w:r>
      <w:r w:rsidR="00FF7F5C">
        <w:t>IN</w:t>
      </w:r>
      <w:r>
        <w:t>.</w:t>
      </w:r>
    </w:p>
    <w:p w:rsidR="00092C61" w:rsidRDefault="00F73D9A">
      <w:pPr>
        <w:pStyle w:val="Heading2"/>
      </w:pPr>
      <w:r>
        <w:t>LOAD</w:t>
      </w:r>
    </w:p>
    <w:p w:rsidR="00092C61" w:rsidRDefault="008819DC" w:rsidP="003F2990">
      <w:pPr>
        <w:pStyle w:val="BodyTextIndent"/>
      </w:pPr>
      <w:r>
        <w:t>An electronic load should be used to set the output current. The output load will change depending on the output voltage selected. See the table below.</w:t>
      </w:r>
    </w:p>
    <w:p w:rsidR="008819DC" w:rsidRDefault="008819DC" w:rsidP="003F2990">
      <w:pPr>
        <w:pStyle w:val="BodyTextInden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</w:tblGrid>
      <w:tr w:rsidR="008819DC" w:rsidTr="00235D5F">
        <w:trPr>
          <w:jc w:val="center"/>
        </w:trPr>
        <w:tc>
          <w:tcPr>
            <w:tcW w:w="2952" w:type="dxa"/>
          </w:tcPr>
          <w:p w:rsidR="008819DC" w:rsidRPr="00C558DE" w:rsidRDefault="008819DC" w:rsidP="00235D5F">
            <w:pPr>
              <w:pStyle w:val="BodyTextIndent2"/>
              <w:ind w:left="0"/>
              <w:jc w:val="center"/>
              <w:rPr>
                <w:b/>
              </w:rPr>
            </w:pPr>
            <w:r w:rsidRPr="00C558DE">
              <w:rPr>
                <w:b/>
              </w:rPr>
              <w:t>VOUT Selection (V)</w:t>
            </w:r>
          </w:p>
        </w:tc>
        <w:tc>
          <w:tcPr>
            <w:tcW w:w="2952" w:type="dxa"/>
          </w:tcPr>
          <w:p w:rsidR="008819DC" w:rsidRPr="00C558DE" w:rsidRDefault="008819DC" w:rsidP="00235D5F">
            <w:pPr>
              <w:pStyle w:val="BodyTextIndent2"/>
              <w:ind w:left="0"/>
              <w:jc w:val="center"/>
              <w:rPr>
                <w:b/>
              </w:rPr>
            </w:pPr>
            <w:r w:rsidRPr="00C558DE">
              <w:rPr>
                <w:b/>
              </w:rPr>
              <w:t>LOAD (A)</w:t>
            </w:r>
          </w:p>
        </w:tc>
      </w:tr>
      <w:tr w:rsidR="008819DC" w:rsidTr="00235D5F">
        <w:trPr>
          <w:jc w:val="center"/>
        </w:trPr>
        <w:tc>
          <w:tcPr>
            <w:tcW w:w="2952" w:type="dxa"/>
          </w:tcPr>
          <w:p w:rsidR="008819DC" w:rsidRDefault="008819DC" w:rsidP="00235D5F">
            <w:pPr>
              <w:pStyle w:val="BodyTextIndent2"/>
              <w:ind w:left="0"/>
              <w:jc w:val="center"/>
            </w:pPr>
            <w:r>
              <w:t>-3.3</w:t>
            </w:r>
          </w:p>
        </w:tc>
        <w:tc>
          <w:tcPr>
            <w:tcW w:w="2952" w:type="dxa"/>
          </w:tcPr>
          <w:p w:rsidR="008819DC" w:rsidRDefault="008819DC" w:rsidP="00235D5F">
            <w:pPr>
              <w:pStyle w:val="BodyTextIndent2"/>
              <w:ind w:left="0"/>
              <w:jc w:val="center"/>
            </w:pPr>
            <w:r>
              <w:t>2</w:t>
            </w:r>
          </w:p>
        </w:tc>
      </w:tr>
      <w:tr w:rsidR="008819DC" w:rsidTr="00235D5F">
        <w:trPr>
          <w:jc w:val="center"/>
        </w:trPr>
        <w:tc>
          <w:tcPr>
            <w:tcW w:w="2952" w:type="dxa"/>
          </w:tcPr>
          <w:p w:rsidR="008819DC" w:rsidRDefault="008819DC" w:rsidP="00235D5F">
            <w:pPr>
              <w:pStyle w:val="BodyTextIndent2"/>
              <w:ind w:left="0"/>
              <w:jc w:val="center"/>
            </w:pPr>
            <w:r>
              <w:t>-5</w:t>
            </w:r>
          </w:p>
        </w:tc>
        <w:tc>
          <w:tcPr>
            <w:tcW w:w="2952" w:type="dxa"/>
          </w:tcPr>
          <w:p w:rsidR="008819DC" w:rsidRDefault="008819DC" w:rsidP="00235D5F">
            <w:pPr>
              <w:pStyle w:val="BodyTextIndent2"/>
              <w:ind w:left="0"/>
              <w:jc w:val="center"/>
            </w:pPr>
            <w:r>
              <w:t>2</w:t>
            </w:r>
          </w:p>
        </w:tc>
      </w:tr>
      <w:tr w:rsidR="008819DC" w:rsidTr="00235D5F">
        <w:trPr>
          <w:jc w:val="center"/>
        </w:trPr>
        <w:tc>
          <w:tcPr>
            <w:tcW w:w="2952" w:type="dxa"/>
          </w:tcPr>
          <w:p w:rsidR="008819DC" w:rsidRDefault="008819DC" w:rsidP="00235D5F">
            <w:pPr>
              <w:pStyle w:val="BodyTextIndent2"/>
              <w:ind w:left="0"/>
              <w:jc w:val="center"/>
            </w:pPr>
            <w:r>
              <w:t>-12</w:t>
            </w:r>
          </w:p>
        </w:tc>
        <w:tc>
          <w:tcPr>
            <w:tcW w:w="2952" w:type="dxa"/>
          </w:tcPr>
          <w:p w:rsidR="008819DC" w:rsidRDefault="008819DC" w:rsidP="00235D5F">
            <w:pPr>
              <w:pStyle w:val="BodyTextIndent2"/>
              <w:ind w:left="0"/>
              <w:jc w:val="center"/>
            </w:pPr>
            <w:r>
              <w:t>1</w:t>
            </w:r>
          </w:p>
        </w:tc>
      </w:tr>
      <w:tr w:rsidR="008819DC" w:rsidTr="00235D5F">
        <w:trPr>
          <w:jc w:val="center"/>
        </w:trPr>
        <w:tc>
          <w:tcPr>
            <w:tcW w:w="2952" w:type="dxa"/>
          </w:tcPr>
          <w:p w:rsidR="008819DC" w:rsidRDefault="008819DC" w:rsidP="00235D5F">
            <w:pPr>
              <w:pStyle w:val="BodyTextIndent2"/>
              <w:ind w:left="0"/>
              <w:jc w:val="center"/>
            </w:pPr>
            <w:r>
              <w:t>-15</w:t>
            </w:r>
          </w:p>
        </w:tc>
        <w:tc>
          <w:tcPr>
            <w:tcW w:w="2952" w:type="dxa"/>
          </w:tcPr>
          <w:p w:rsidR="008819DC" w:rsidRDefault="008819DC" w:rsidP="00235D5F">
            <w:pPr>
              <w:pStyle w:val="BodyTextIndent2"/>
              <w:ind w:left="0"/>
              <w:jc w:val="center"/>
            </w:pPr>
            <w:r>
              <w:t>1</w:t>
            </w:r>
          </w:p>
        </w:tc>
      </w:tr>
    </w:tbl>
    <w:p w:rsidR="008819DC" w:rsidRDefault="008819DC" w:rsidP="003F2990">
      <w:pPr>
        <w:pStyle w:val="BodyTextIndent"/>
      </w:pPr>
    </w:p>
    <w:p w:rsidR="00092C61" w:rsidRDefault="00092C61">
      <w:pPr>
        <w:pStyle w:val="Heading2"/>
      </w:pPr>
      <w:r>
        <w:t>METERS</w:t>
      </w:r>
    </w:p>
    <w:p w:rsidR="00092C61" w:rsidRDefault="00470DA0">
      <w:pPr>
        <w:ind w:left="0" w:firstLine="720"/>
      </w:pPr>
      <w:r>
        <w:t>One DC voltmeter is required.</w:t>
      </w:r>
    </w:p>
    <w:p w:rsidR="00092C61" w:rsidRDefault="00092C61">
      <w:pPr>
        <w:pStyle w:val="Heading2"/>
      </w:pPr>
      <w:r>
        <w:t>OSCILLOSCOPES</w:t>
      </w:r>
    </w:p>
    <w:p w:rsidR="00092C61" w:rsidRDefault="003C0A9A">
      <w:r>
        <w:t>An oscilloscope and one</w:t>
      </w:r>
      <w:r w:rsidR="00470DA0">
        <w:t xml:space="preserve"> voltage probe</w:t>
      </w:r>
      <w:r>
        <w:t xml:space="preserve"> is</w:t>
      </w:r>
      <w:r w:rsidR="00092C61">
        <w:t xml:space="preserve"> required.</w:t>
      </w:r>
    </w:p>
    <w:p w:rsidR="00092C61" w:rsidRDefault="00092C61"/>
    <w:p w:rsidR="00092C61" w:rsidRDefault="00092C61">
      <w:pPr>
        <w:pStyle w:val="Heading1"/>
      </w:pPr>
      <w:r>
        <w:t>EQUIPMENT SETUP</w:t>
      </w:r>
    </w:p>
    <w:p w:rsidR="0001618B" w:rsidRDefault="0001618B">
      <w:pPr>
        <w:pStyle w:val="Heading2"/>
      </w:pPr>
      <w:r>
        <w:t>GENERAL INFORMATION</w:t>
      </w:r>
    </w:p>
    <w:p w:rsidR="00092C61" w:rsidRDefault="00092C61">
      <w:pPr>
        <w:pStyle w:val="Heading2"/>
      </w:pPr>
      <w:r>
        <w:t>INPUT SUPPLY</w:t>
      </w:r>
    </w:p>
    <w:p w:rsidR="00F73D9A" w:rsidRDefault="00A34575" w:rsidP="00F73D9A">
      <w:pPr>
        <w:pStyle w:val="BodyTextIndent"/>
        <w:jc w:val="both"/>
      </w:pPr>
      <w:r>
        <w:t xml:space="preserve">Set </w:t>
      </w:r>
      <w:r w:rsidR="00D300C3">
        <w:t>t</w:t>
      </w:r>
      <w:r w:rsidR="00F73D9A">
        <w:t xml:space="preserve">he </w:t>
      </w:r>
      <w:r w:rsidR="00DD23D4">
        <w:t xml:space="preserve">input voltage power supply to </w:t>
      </w:r>
      <w:r w:rsidR="00FD7446">
        <w:t>24</w:t>
      </w:r>
      <w:r w:rsidR="00470DA0">
        <w:t>.0</w:t>
      </w:r>
      <w:r w:rsidR="002808B0">
        <w:t xml:space="preserve"> V</w:t>
      </w:r>
      <w:r w:rsidR="00470DA0">
        <w:t>, +/- 0.1V</w:t>
      </w:r>
      <w:r w:rsidR="00B510B9">
        <w:t xml:space="preserve"> and the current limit to </w:t>
      </w:r>
      <w:r w:rsidR="00FD7446">
        <w:t>3</w:t>
      </w:r>
      <w:r w:rsidR="00284943">
        <w:t xml:space="preserve"> A</w:t>
      </w:r>
      <w:r w:rsidR="00F73D9A">
        <w:t>.</w:t>
      </w:r>
      <w:r w:rsidR="00C612FC">
        <w:t xml:space="preserve"> </w:t>
      </w:r>
      <w:r w:rsidR="00470DA0">
        <w:t xml:space="preserve">Turn off the power supply. </w:t>
      </w:r>
      <w:r>
        <w:t>Connect the</w:t>
      </w:r>
      <w:r w:rsidR="00F73D9A">
        <w:t xml:space="preserve"> </w:t>
      </w:r>
      <w:r>
        <w:t>input</w:t>
      </w:r>
      <w:r w:rsidR="00F73D9A">
        <w:t xml:space="preserve"> power supply </w:t>
      </w:r>
      <w:r>
        <w:t>to</w:t>
      </w:r>
      <w:r w:rsidR="00470DA0">
        <w:t xml:space="preserve"> TB1; VIN and GND positions are noted on the </w:t>
      </w:r>
      <w:r w:rsidR="006574C5">
        <w:t>PWR167</w:t>
      </w:r>
      <w:r w:rsidR="00470DA0">
        <w:t xml:space="preserve"> circuit board. </w:t>
      </w:r>
    </w:p>
    <w:p w:rsidR="00F73D9A" w:rsidRPr="00F73D9A" w:rsidRDefault="00F73D9A" w:rsidP="00F73D9A"/>
    <w:p w:rsidR="00092C61" w:rsidRDefault="00092C61">
      <w:pPr>
        <w:pStyle w:val="Heading2"/>
      </w:pPr>
      <w:r>
        <w:t xml:space="preserve">LOAD  </w:t>
      </w:r>
    </w:p>
    <w:p w:rsidR="00B6107E" w:rsidRDefault="00C558DE" w:rsidP="00B6107E">
      <w:pPr>
        <w:pStyle w:val="BodyTextIndent2"/>
      </w:pPr>
      <w:r>
        <w:t>Apply a load</w:t>
      </w:r>
      <w:r w:rsidR="00092C61">
        <w:t xml:space="preserve"> to the </w:t>
      </w:r>
      <w:r w:rsidR="006574C5">
        <w:t>PWR167</w:t>
      </w:r>
      <w:r w:rsidR="000E3326">
        <w:t xml:space="preserve"> </w:t>
      </w:r>
      <w:r w:rsidR="00B93F66">
        <w:t xml:space="preserve">at </w:t>
      </w:r>
      <w:r>
        <w:t>TB2 according to the table below.</w:t>
      </w:r>
    </w:p>
    <w:p w:rsidR="00C558DE" w:rsidRDefault="00C558DE" w:rsidP="00B6107E">
      <w:pPr>
        <w:pStyle w:val="BodyTextIndent2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</w:tblGrid>
      <w:tr w:rsidR="00C558DE" w:rsidTr="00C558DE">
        <w:trPr>
          <w:jc w:val="center"/>
        </w:trPr>
        <w:tc>
          <w:tcPr>
            <w:tcW w:w="2952" w:type="dxa"/>
          </w:tcPr>
          <w:p w:rsidR="00C558DE" w:rsidRPr="00C558DE" w:rsidRDefault="00C558DE" w:rsidP="00C558DE">
            <w:pPr>
              <w:pStyle w:val="BodyTextIndent2"/>
              <w:ind w:left="0"/>
              <w:jc w:val="center"/>
              <w:rPr>
                <w:b/>
              </w:rPr>
            </w:pPr>
            <w:r w:rsidRPr="00C558DE">
              <w:rPr>
                <w:b/>
              </w:rPr>
              <w:t>VOUT Selection (V)</w:t>
            </w:r>
          </w:p>
        </w:tc>
        <w:tc>
          <w:tcPr>
            <w:tcW w:w="2952" w:type="dxa"/>
          </w:tcPr>
          <w:p w:rsidR="00C558DE" w:rsidRPr="00C558DE" w:rsidRDefault="00C558DE" w:rsidP="00C558DE">
            <w:pPr>
              <w:pStyle w:val="BodyTextIndent2"/>
              <w:ind w:left="0"/>
              <w:jc w:val="center"/>
              <w:rPr>
                <w:b/>
              </w:rPr>
            </w:pPr>
            <w:r w:rsidRPr="00C558DE">
              <w:rPr>
                <w:b/>
              </w:rPr>
              <w:t>LOAD (A)</w:t>
            </w:r>
          </w:p>
        </w:tc>
      </w:tr>
      <w:tr w:rsidR="00C558DE" w:rsidTr="00C558DE">
        <w:trPr>
          <w:jc w:val="center"/>
        </w:trPr>
        <w:tc>
          <w:tcPr>
            <w:tcW w:w="2952" w:type="dxa"/>
          </w:tcPr>
          <w:p w:rsidR="00C558DE" w:rsidRDefault="00C558DE" w:rsidP="00C558DE">
            <w:pPr>
              <w:pStyle w:val="BodyTextIndent2"/>
              <w:ind w:left="0"/>
              <w:jc w:val="center"/>
            </w:pPr>
            <w:r>
              <w:t>-3.3</w:t>
            </w:r>
          </w:p>
        </w:tc>
        <w:tc>
          <w:tcPr>
            <w:tcW w:w="2952" w:type="dxa"/>
          </w:tcPr>
          <w:p w:rsidR="00C558DE" w:rsidRDefault="00C558DE" w:rsidP="00C558DE">
            <w:pPr>
              <w:pStyle w:val="BodyTextIndent2"/>
              <w:ind w:left="0"/>
              <w:jc w:val="center"/>
            </w:pPr>
            <w:r>
              <w:t>2</w:t>
            </w:r>
          </w:p>
        </w:tc>
      </w:tr>
      <w:tr w:rsidR="00C558DE" w:rsidTr="00C558DE">
        <w:trPr>
          <w:jc w:val="center"/>
        </w:trPr>
        <w:tc>
          <w:tcPr>
            <w:tcW w:w="2952" w:type="dxa"/>
          </w:tcPr>
          <w:p w:rsidR="00C558DE" w:rsidRDefault="00C558DE" w:rsidP="00C558DE">
            <w:pPr>
              <w:pStyle w:val="BodyTextIndent2"/>
              <w:ind w:left="0"/>
              <w:jc w:val="center"/>
            </w:pPr>
            <w:r>
              <w:t>-5</w:t>
            </w:r>
          </w:p>
        </w:tc>
        <w:tc>
          <w:tcPr>
            <w:tcW w:w="2952" w:type="dxa"/>
          </w:tcPr>
          <w:p w:rsidR="00C558DE" w:rsidRDefault="00C558DE" w:rsidP="00C558DE">
            <w:pPr>
              <w:pStyle w:val="BodyTextIndent2"/>
              <w:ind w:left="0"/>
              <w:jc w:val="center"/>
            </w:pPr>
            <w:r>
              <w:t>2</w:t>
            </w:r>
          </w:p>
        </w:tc>
      </w:tr>
      <w:tr w:rsidR="00C558DE" w:rsidTr="00C558DE">
        <w:trPr>
          <w:jc w:val="center"/>
        </w:trPr>
        <w:tc>
          <w:tcPr>
            <w:tcW w:w="2952" w:type="dxa"/>
          </w:tcPr>
          <w:p w:rsidR="00C558DE" w:rsidRDefault="00C558DE" w:rsidP="00C558DE">
            <w:pPr>
              <w:pStyle w:val="BodyTextIndent2"/>
              <w:ind w:left="0"/>
              <w:jc w:val="center"/>
            </w:pPr>
            <w:r>
              <w:t>-12</w:t>
            </w:r>
          </w:p>
        </w:tc>
        <w:tc>
          <w:tcPr>
            <w:tcW w:w="2952" w:type="dxa"/>
          </w:tcPr>
          <w:p w:rsidR="00C558DE" w:rsidRDefault="00C558DE" w:rsidP="00C558DE">
            <w:pPr>
              <w:pStyle w:val="BodyTextIndent2"/>
              <w:ind w:left="0"/>
              <w:jc w:val="center"/>
            </w:pPr>
            <w:r>
              <w:t>1</w:t>
            </w:r>
          </w:p>
        </w:tc>
      </w:tr>
      <w:tr w:rsidR="00C558DE" w:rsidTr="00C558DE">
        <w:trPr>
          <w:jc w:val="center"/>
        </w:trPr>
        <w:tc>
          <w:tcPr>
            <w:tcW w:w="2952" w:type="dxa"/>
          </w:tcPr>
          <w:p w:rsidR="00C558DE" w:rsidRDefault="00C558DE" w:rsidP="00C558DE">
            <w:pPr>
              <w:pStyle w:val="BodyTextIndent2"/>
              <w:ind w:left="0"/>
              <w:jc w:val="center"/>
            </w:pPr>
            <w:r>
              <w:t>-15</w:t>
            </w:r>
          </w:p>
        </w:tc>
        <w:tc>
          <w:tcPr>
            <w:tcW w:w="2952" w:type="dxa"/>
          </w:tcPr>
          <w:p w:rsidR="00C558DE" w:rsidRDefault="00C558DE" w:rsidP="00C558DE">
            <w:pPr>
              <w:pStyle w:val="BodyTextIndent2"/>
              <w:ind w:left="0"/>
              <w:jc w:val="center"/>
            </w:pPr>
            <w:r>
              <w:t>1</w:t>
            </w:r>
          </w:p>
        </w:tc>
      </w:tr>
    </w:tbl>
    <w:p w:rsidR="00C558DE" w:rsidRDefault="00C558DE" w:rsidP="00B6107E">
      <w:pPr>
        <w:pStyle w:val="BodyTextIndent2"/>
      </w:pPr>
    </w:p>
    <w:p w:rsidR="00092C61" w:rsidRDefault="00092C61">
      <w:pPr>
        <w:pStyle w:val="BodyTextIndent2"/>
      </w:pPr>
    </w:p>
    <w:p w:rsidR="00092C61" w:rsidRDefault="00083BEE">
      <w:pPr>
        <w:pStyle w:val="Heading2"/>
      </w:pPr>
      <w:r>
        <w:lastRenderedPageBreak/>
        <w:t xml:space="preserve">DC VOLT </w:t>
      </w:r>
      <w:r w:rsidR="00092C61">
        <w:t>METER</w:t>
      </w:r>
      <w:r w:rsidR="00AE1647">
        <w:t>S</w:t>
      </w:r>
    </w:p>
    <w:p w:rsidR="00B93F66" w:rsidRDefault="003C0A9A" w:rsidP="00B93F66">
      <w:pPr>
        <w:pStyle w:val="BodyTextIndent2"/>
      </w:pPr>
      <w:r>
        <w:t>For the out</w:t>
      </w:r>
      <w:r w:rsidR="00A34575">
        <w:t>put voltage, connect</w:t>
      </w:r>
      <w:r>
        <w:t xml:space="preserve"> the positive lead of the voltmeter to test point VOUT</w:t>
      </w:r>
      <w:r w:rsidR="00B93F66">
        <w:t xml:space="preserve">, and the negative terminal </w:t>
      </w:r>
      <w:r>
        <w:t>test point GND</w:t>
      </w:r>
      <w:r w:rsidR="00B93F66">
        <w:t xml:space="preserve">. </w:t>
      </w:r>
    </w:p>
    <w:p w:rsidR="00092C61" w:rsidRDefault="00092C61">
      <w:pPr>
        <w:pStyle w:val="BodyTextIndent2"/>
      </w:pPr>
    </w:p>
    <w:p w:rsidR="00092C61" w:rsidRDefault="00092C61">
      <w:pPr>
        <w:pStyle w:val="Heading2"/>
      </w:pPr>
      <w:r>
        <w:t>OSCILLOSCOPE</w:t>
      </w:r>
    </w:p>
    <w:p w:rsidR="00005A6B" w:rsidRDefault="00092C61">
      <w:pPr>
        <w:pStyle w:val="BodyTextIndent2"/>
      </w:pPr>
      <w:r>
        <w:t xml:space="preserve">The oscilloscope </w:t>
      </w:r>
      <w:r w:rsidR="003C0A9A">
        <w:t>is</w:t>
      </w:r>
      <w:r>
        <w:t xml:space="preserve"> used to measure the switching frequency at steady state condition.  </w:t>
      </w:r>
      <w:r w:rsidR="00A34575">
        <w:t>T</w:t>
      </w:r>
      <w:r w:rsidR="003C0A9A">
        <w:t>he oscilloscope channel</w:t>
      </w:r>
      <w:r>
        <w:t xml:space="preserve"> </w:t>
      </w:r>
      <w:r w:rsidR="003C0A9A">
        <w:t xml:space="preserve">used </w:t>
      </w:r>
      <w:r w:rsidR="00AF596F">
        <w:t>should be set to D</w:t>
      </w:r>
      <w:r>
        <w:t xml:space="preserve">C coupling, </w:t>
      </w:r>
      <w:r w:rsidR="00AF596F">
        <w:t>1</w:t>
      </w:r>
      <w:r>
        <w:t xml:space="preserve">V/div vertical scale, </w:t>
      </w:r>
      <w:r w:rsidR="00610F80">
        <w:t>500 n</w:t>
      </w:r>
      <w:r>
        <w:t xml:space="preserve">s/div time scale, and bandwidth limited to 20 MHz. </w:t>
      </w:r>
    </w:p>
    <w:p w:rsidR="003C0A9A" w:rsidRDefault="003C0A9A">
      <w:pPr>
        <w:pStyle w:val="BodyTextIndent2"/>
      </w:pPr>
    </w:p>
    <w:p w:rsidR="00092C61" w:rsidRDefault="003C0A9A" w:rsidP="003C0A9A">
      <w:pPr>
        <w:pStyle w:val="BodyTextIndent2"/>
      </w:pPr>
      <w:r>
        <w:t xml:space="preserve">Connect the </w:t>
      </w:r>
      <w:r w:rsidR="00E8635C">
        <w:t xml:space="preserve">scope probe to </w:t>
      </w:r>
      <w:proofErr w:type="gramStart"/>
      <w:r w:rsidR="00E8635C">
        <w:t xml:space="preserve">the </w:t>
      </w:r>
      <w:r w:rsidR="003353E5">
        <w:t>via</w:t>
      </w:r>
      <w:proofErr w:type="gramEnd"/>
      <w:r w:rsidR="003353E5">
        <w:t xml:space="preserve"> labeled</w:t>
      </w:r>
      <w:r w:rsidR="00AF596F">
        <w:t xml:space="preserve"> PH</w:t>
      </w:r>
      <w:r>
        <w:t xml:space="preserve"> and GND to measure the frequency settings. </w:t>
      </w:r>
      <w:r w:rsidR="003353E5">
        <w:t xml:space="preserve">Via PH is located at the </w:t>
      </w:r>
      <w:r w:rsidR="00FD7446">
        <w:t xml:space="preserve">lower center </w:t>
      </w:r>
      <w:r w:rsidR="003353E5">
        <w:t xml:space="preserve">of U1. </w:t>
      </w:r>
    </w:p>
    <w:p w:rsidR="00092C61" w:rsidRDefault="00092C61">
      <w:pPr>
        <w:pStyle w:val="Heading2"/>
      </w:pPr>
      <w:r>
        <w:t>EVM SETTINGS</w:t>
      </w:r>
    </w:p>
    <w:p w:rsidR="00681649" w:rsidRDefault="00681649">
      <w:pPr>
        <w:pStyle w:val="BodyTextIndent2"/>
      </w:pPr>
      <w:r>
        <w:t xml:space="preserve">Install the VOUT Select jumper at </w:t>
      </w:r>
      <w:r w:rsidR="00E8635C">
        <w:t>-5V.</w:t>
      </w:r>
    </w:p>
    <w:p w:rsidR="00681649" w:rsidRDefault="00681649">
      <w:pPr>
        <w:pStyle w:val="BodyTextIndent2"/>
      </w:pPr>
    </w:p>
    <w:p w:rsidR="00092C61" w:rsidRDefault="00092C61">
      <w:pPr>
        <w:pStyle w:val="BodyTextIndent2"/>
      </w:pPr>
    </w:p>
    <w:p w:rsidR="00092C61" w:rsidRDefault="00092C61" w:rsidP="00F3180E">
      <w:pPr>
        <w:pStyle w:val="Heading1"/>
      </w:pPr>
      <w:r>
        <w:t>PROCEDURE</w:t>
      </w:r>
    </w:p>
    <w:p w:rsidR="00681649" w:rsidRDefault="00681649" w:rsidP="00681649"/>
    <w:p w:rsidR="00681649" w:rsidRDefault="00681649" w:rsidP="00681649">
      <w:pPr>
        <w:pStyle w:val="Heading2"/>
        <w:ind w:left="1080" w:hanging="360"/>
      </w:pPr>
      <w:bookmarkStart w:id="0" w:name="_Ref273521123"/>
      <w:r>
        <w:t>APPLY POWER AND MEASURE SWITCHING FREQUENCY</w:t>
      </w:r>
      <w:bookmarkEnd w:id="0"/>
    </w:p>
    <w:p w:rsidR="00681649" w:rsidRDefault="00E8635C" w:rsidP="00681649">
      <w:pPr>
        <w:pStyle w:val="BodyTextIndent2"/>
      </w:pPr>
      <w:r>
        <w:t>Turn on the 24</w:t>
      </w:r>
      <w:r w:rsidR="00681649">
        <w:t>Volt power</w:t>
      </w:r>
      <w:r w:rsidR="00AF596F">
        <w:t xml:space="preserve"> supply, VIN. Observe the PH signal </w:t>
      </w:r>
      <w:r>
        <w:t>on the scope. The PH signal</w:t>
      </w:r>
      <w:r w:rsidR="00681649">
        <w:t xml:space="preserve"> is </w:t>
      </w:r>
      <w:r w:rsidR="00225BB6">
        <w:t xml:space="preserve">a repeating, non-symmetric </w:t>
      </w:r>
      <w:r w:rsidR="00AF596F">
        <w:t>square waveform</w:t>
      </w:r>
      <w:r w:rsidR="00225BB6">
        <w:t xml:space="preserve">. </w:t>
      </w:r>
      <w:r>
        <w:t xml:space="preserve">Measure the waveform </w:t>
      </w:r>
      <w:r w:rsidR="000B2A88">
        <w:t>frequency</w:t>
      </w:r>
      <w:r>
        <w:t>.</w:t>
      </w:r>
      <w:r w:rsidR="00225BB6">
        <w:t xml:space="preserve"> </w:t>
      </w:r>
      <w:r>
        <w:t xml:space="preserve">The pre-set switching frequency is </w:t>
      </w:r>
      <w:r w:rsidR="00B5115D">
        <w:t xml:space="preserve">typically </w:t>
      </w:r>
      <w:proofErr w:type="gramStart"/>
      <w:r>
        <w:t>800kHz</w:t>
      </w:r>
      <w:proofErr w:type="gramEnd"/>
      <w:r>
        <w:t>.</w:t>
      </w:r>
      <w:r w:rsidR="000B2A88">
        <w:t xml:space="preserve"> The acceptable frequency is </w:t>
      </w:r>
      <w:proofErr w:type="gramStart"/>
      <w:r w:rsidR="000B2A88">
        <w:t>720kHz</w:t>
      </w:r>
      <w:proofErr w:type="gramEnd"/>
      <w:r w:rsidR="000B2A88">
        <w:t xml:space="preserve"> to 880kHz.</w:t>
      </w:r>
    </w:p>
    <w:p w:rsidR="00225BB6" w:rsidRDefault="00225BB6" w:rsidP="00681649">
      <w:pPr>
        <w:pStyle w:val="BodyTextIndent2"/>
      </w:pPr>
    </w:p>
    <w:p w:rsidR="00681649" w:rsidRPr="00681649" w:rsidRDefault="00681649" w:rsidP="00681649"/>
    <w:p w:rsidR="00092C61" w:rsidRDefault="0035303A" w:rsidP="00F3180E">
      <w:pPr>
        <w:pStyle w:val="Heading2"/>
        <w:ind w:left="1080" w:hanging="360"/>
      </w:pPr>
      <w:bookmarkStart w:id="1" w:name="_Ref273522016"/>
      <w:bookmarkStart w:id="2" w:name="_Ref11036748"/>
      <w:r>
        <w:t xml:space="preserve">APPLY POWER AND MEASURE </w:t>
      </w:r>
      <w:r w:rsidR="002A0302">
        <w:t>VARIOUS</w:t>
      </w:r>
      <w:r w:rsidR="009044A9">
        <w:t xml:space="preserve"> V</w:t>
      </w:r>
      <w:r w:rsidR="002D5F4A">
        <w:t>OLT</w:t>
      </w:r>
      <w:r w:rsidR="002A0302">
        <w:t>AGE</w:t>
      </w:r>
      <w:r w:rsidR="002D5F4A">
        <w:t xml:space="preserve"> OUTPUT</w:t>
      </w:r>
      <w:r w:rsidR="002A0302">
        <w:t>S</w:t>
      </w:r>
      <w:bookmarkEnd w:id="1"/>
    </w:p>
    <w:p w:rsidR="001A3F7B" w:rsidRDefault="001A3F7B" w:rsidP="001A3F7B">
      <w:pPr>
        <w:pStyle w:val="BodyTextIndent2"/>
      </w:pPr>
      <w:r>
        <w:t>Measure the output voltage with the digital voltmeter at TB2.  Move the VOUT Select Jumper to the next selection and repeat. The acceptable voltage range is</w:t>
      </w:r>
      <w:r w:rsidR="00DD0E65">
        <w:t xml:space="preserve"> listed in Table2</w:t>
      </w:r>
      <w:r>
        <w:t xml:space="preserve">. </w:t>
      </w:r>
      <w:r w:rsidR="00C64D41">
        <w:t>The maximum VIN for each VOUT is listed in Table 2.</w:t>
      </w:r>
    </w:p>
    <w:p w:rsidR="00DD0E65" w:rsidRDefault="00DD0E65" w:rsidP="001A3F7B">
      <w:pPr>
        <w:pStyle w:val="BodyTextIndent2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  <w:gridCol w:w="2952"/>
      </w:tblGrid>
      <w:tr w:rsidR="00C64D41" w:rsidTr="00C558DE">
        <w:trPr>
          <w:jc w:val="center"/>
        </w:trPr>
        <w:tc>
          <w:tcPr>
            <w:tcW w:w="2952" w:type="dxa"/>
          </w:tcPr>
          <w:p w:rsidR="00C64D41" w:rsidRPr="00C558DE" w:rsidRDefault="00C64D41" w:rsidP="00C558DE">
            <w:pPr>
              <w:pStyle w:val="BodyTextIndent2"/>
              <w:ind w:left="0"/>
              <w:rPr>
                <w:b/>
              </w:rPr>
            </w:pPr>
            <w:r w:rsidRPr="00C558DE">
              <w:rPr>
                <w:b/>
              </w:rPr>
              <w:t>VOUT Selection (V)</w:t>
            </w:r>
          </w:p>
        </w:tc>
        <w:tc>
          <w:tcPr>
            <w:tcW w:w="2952" w:type="dxa"/>
          </w:tcPr>
          <w:p w:rsidR="00C64D41" w:rsidRPr="00C558DE" w:rsidRDefault="00C64D41" w:rsidP="00C558DE">
            <w:pPr>
              <w:pStyle w:val="BodyTextIndent2"/>
              <w:ind w:left="0"/>
              <w:rPr>
                <w:b/>
              </w:rPr>
            </w:pPr>
            <w:r w:rsidRPr="00C558DE">
              <w:rPr>
                <w:b/>
              </w:rPr>
              <w:t>VOUT (V)</w:t>
            </w:r>
          </w:p>
        </w:tc>
        <w:tc>
          <w:tcPr>
            <w:tcW w:w="2952" w:type="dxa"/>
          </w:tcPr>
          <w:p w:rsidR="00C64D41" w:rsidRPr="00C558DE" w:rsidRDefault="00C64D41" w:rsidP="00C558DE">
            <w:pPr>
              <w:pStyle w:val="BodyTextIndent2"/>
              <w:ind w:left="0"/>
              <w:rPr>
                <w:b/>
              </w:rPr>
            </w:pPr>
            <w:r w:rsidRPr="00C558DE">
              <w:rPr>
                <w:b/>
              </w:rPr>
              <w:t>Maximum VIN (V)</w:t>
            </w:r>
          </w:p>
        </w:tc>
      </w:tr>
      <w:tr w:rsidR="00C64D41" w:rsidTr="00C558DE">
        <w:trPr>
          <w:jc w:val="center"/>
        </w:trPr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-3.3</w:t>
            </w:r>
          </w:p>
        </w:tc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-3.2 – -3.4</w:t>
            </w:r>
          </w:p>
        </w:tc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40</w:t>
            </w:r>
          </w:p>
        </w:tc>
      </w:tr>
      <w:tr w:rsidR="00C64D41" w:rsidTr="00C558DE">
        <w:trPr>
          <w:jc w:val="center"/>
        </w:trPr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-5</w:t>
            </w:r>
          </w:p>
        </w:tc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-4.9 – -5.1</w:t>
            </w:r>
          </w:p>
        </w:tc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40</w:t>
            </w:r>
          </w:p>
        </w:tc>
      </w:tr>
      <w:tr w:rsidR="00C64D41" w:rsidTr="00C558DE">
        <w:trPr>
          <w:jc w:val="center"/>
        </w:trPr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-12</w:t>
            </w:r>
          </w:p>
        </w:tc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-11.8 – -12.2</w:t>
            </w:r>
          </w:p>
        </w:tc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38</w:t>
            </w:r>
          </w:p>
        </w:tc>
      </w:tr>
      <w:tr w:rsidR="00C64D41" w:rsidTr="00C558DE">
        <w:trPr>
          <w:jc w:val="center"/>
        </w:trPr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-15</w:t>
            </w:r>
          </w:p>
        </w:tc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-14.75 – -15.25</w:t>
            </w:r>
          </w:p>
        </w:tc>
        <w:tc>
          <w:tcPr>
            <w:tcW w:w="2952" w:type="dxa"/>
          </w:tcPr>
          <w:p w:rsidR="00C64D41" w:rsidRDefault="00C64D41" w:rsidP="00C558DE">
            <w:pPr>
              <w:pStyle w:val="BodyTextIndent2"/>
              <w:ind w:left="0"/>
            </w:pPr>
            <w:r>
              <w:t>35</w:t>
            </w:r>
          </w:p>
        </w:tc>
      </w:tr>
    </w:tbl>
    <w:p w:rsidR="00DD0E65" w:rsidRDefault="00DD0E65" w:rsidP="00DD0E65">
      <w:pPr>
        <w:pStyle w:val="BodyTextIndent2"/>
        <w:jc w:val="center"/>
        <w:rPr>
          <w:b/>
        </w:rPr>
      </w:pPr>
    </w:p>
    <w:p w:rsidR="00DD0E65" w:rsidRDefault="00DD0E65" w:rsidP="00DD0E65">
      <w:pPr>
        <w:pStyle w:val="BodyTextIndent2"/>
        <w:jc w:val="center"/>
      </w:pPr>
      <w:r>
        <w:rPr>
          <w:b/>
        </w:rPr>
        <w:t>Table 2</w:t>
      </w:r>
      <w:r w:rsidRPr="00377F53">
        <w:rPr>
          <w:b/>
        </w:rPr>
        <w:t>:</w:t>
      </w:r>
      <w:r>
        <w:t xml:space="preserve"> Min and Max Output Voltage</w:t>
      </w:r>
    </w:p>
    <w:p w:rsidR="001A3F7B" w:rsidRDefault="001A3F7B" w:rsidP="001A3F7B">
      <w:pPr>
        <w:pStyle w:val="BodyTextIndent2"/>
      </w:pPr>
    </w:p>
    <w:p w:rsidR="00377F53" w:rsidRPr="00C64D41" w:rsidRDefault="00C64D41" w:rsidP="00781293">
      <w:pPr>
        <w:pStyle w:val="BodyTextIndent2"/>
        <w:ind w:left="0"/>
      </w:pPr>
      <w:r>
        <w:t>The sum of VIN + |VOUT| must not exceed 50V.</w:t>
      </w:r>
    </w:p>
    <w:p w:rsidR="00377F53" w:rsidRDefault="00377F53">
      <w:pPr>
        <w:pStyle w:val="BodyTextIndent2"/>
      </w:pPr>
    </w:p>
    <w:p w:rsidR="00092C61" w:rsidRDefault="00092C61">
      <w:pPr>
        <w:pStyle w:val="BodyTextIndent2"/>
      </w:pPr>
    </w:p>
    <w:bookmarkEnd w:id="2"/>
    <w:p w:rsidR="00092C61" w:rsidRPr="00F67EF4" w:rsidRDefault="00092C61">
      <w:pPr>
        <w:pStyle w:val="Heading2"/>
      </w:pPr>
      <w:r w:rsidRPr="00F67EF4">
        <w:t xml:space="preserve">STEP </w:t>
      </w:r>
      <w:r w:rsidR="00A0190E">
        <w:t>SEVEN</w:t>
      </w:r>
      <w:r w:rsidRPr="00F67EF4">
        <w:t>: MATERIAL DISPOSITION</w:t>
      </w:r>
    </w:p>
    <w:p w:rsidR="00092C61" w:rsidRDefault="00092C61">
      <w:r>
        <w:t xml:space="preserve">All units (passed and failed) shall be </w:t>
      </w:r>
      <w:proofErr w:type="spellStart"/>
      <w:r w:rsidR="00A0190E">
        <w:t>dispositioned</w:t>
      </w:r>
      <w:proofErr w:type="spellEnd"/>
      <w:r>
        <w:t xml:space="preserve"> according to section </w:t>
      </w:r>
      <w:fldSimple w:instr=" REF _Ref516994477 \r ">
        <w:r w:rsidR="00376FC1">
          <w:t>9</w:t>
        </w:r>
      </w:fldSimple>
      <w:r>
        <w:t xml:space="preserve">. </w:t>
      </w:r>
      <w:r w:rsidR="001323A0">
        <w:t xml:space="preserve"> </w:t>
      </w:r>
      <w:r>
        <w:t xml:space="preserve">Continue testing by going back to step one (section </w:t>
      </w:r>
      <w:r w:rsidR="00740803">
        <w:fldChar w:fldCharType="begin"/>
      </w:r>
      <w:r w:rsidR="00D6708D">
        <w:instrText xml:space="preserve"> REF _Ref273522016 \r \h </w:instrText>
      </w:r>
      <w:r w:rsidR="00740803">
        <w:fldChar w:fldCharType="separate"/>
      </w:r>
      <w:r w:rsidR="00D6708D">
        <w:t>7.1</w:t>
      </w:r>
      <w:r w:rsidR="00740803">
        <w:fldChar w:fldCharType="end"/>
      </w:r>
      <w:r>
        <w:t>) until all units have been tested.</w:t>
      </w:r>
    </w:p>
    <w:p w:rsidR="00092C61" w:rsidRDefault="00092C61">
      <w:pPr>
        <w:ind w:left="0"/>
        <w:jc w:val="center"/>
      </w:pPr>
    </w:p>
    <w:p w:rsidR="00092C61" w:rsidRDefault="00092C61">
      <w:pPr>
        <w:pStyle w:val="Heading1"/>
      </w:pPr>
      <w:r>
        <w:t>EQUIPMENT SHUTDOWN</w:t>
      </w:r>
    </w:p>
    <w:p w:rsidR="00092C61" w:rsidRDefault="00092C61">
      <w:pPr>
        <w:rPr>
          <w:b/>
          <w:u w:val="single"/>
        </w:rPr>
      </w:pPr>
    </w:p>
    <w:p w:rsidR="000D415C" w:rsidRDefault="000D415C" w:rsidP="000D415C">
      <w:pPr>
        <w:pStyle w:val="BodyTextIndent2"/>
        <w:ind w:left="0"/>
      </w:pPr>
      <w:r>
        <w:t xml:space="preserve">Turn off the power supply and remove all test equipment connections. </w:t>
      </w:r>
    </w:p>
    <w:p w:rsidR="00092C61" w:rsidRDefault="00092C61"/>
    <w:p w:rsidR="00092C61" w:rsidRDefault="00092C61"/>
    <w:p w:rsidR="00092C61" w:rsidRDefault="00092C61">
      <w:pPr>
        <w:pStyle w:val="Heading1"/>
      </w:pPr>
      <w:bookmarkStart w:id="3" w:name="_Ref516994477"/>
      <w:r>
        <w:lastRenderedPageBreak/>
        <w:t>MATERIAL DISPOSITION &amp; TRANSFER</w:t>
      </w:r>
      <w:bookmarkEnd w:id="3"/>
    </w:p>
    <w:p w:rsidR="00092C61" w:rsidRDefault="00092C61">
      <w:pPr>
        <w:pStyle w:val="Heading2"/>
      </w:pPr>
      <w:r>
        <w:t>CONFORMING MATERIAL</w:t>
      </w:r>
    </w:p>
    <w:p w:rsidR="00092C61" w:rsidRDefault="00092C61">
      <w:r>
        <w:t xml:space="preserve">Units that have passed this test procedure shall be packaged into anti-static ESD approved bags, labeled </w:t>
      </w:r>
      <w:r w:rsidR="00284943">
        <w:t xml:space="preserve">as indicated in </w:t>
      </w:r>
      <w:r w:rsidR="00740803">
        <w:fldChar w:fldCharType="begin"/>
      </w:r>
      <w:r w:rsidR="00284943">
        <w:instrText xml:space="preserve"> REF _Ref208737401 \h </w:instrText>
      </w:r>
      <w:r w:rsidR="00740803">
        <w:fldChar w:fldCharType="separate"/>
      </w:r>
      <w:r w:rsidR="00376FC1">
        <w:t xml:space="preserve">Table </w:t>
      </w:r>
      <w:r w:rsidR="00740803">
        <w:fldChar w:fldCharType="end"/>
      </w:r>
      <w:r w:rsidR="000D415C">
        <w:t>3</w:t>
      </w:r>
      <w:r>
        <w:t xml:space="preserve"> and shipped per the P.O.</w:t>
      </w:r>
    </w:p>
    <w:p w:rsidR="002808B0" w:rsidRDefault="002808B0"/>
    <w:p w:rsidR="002808B0" w:rsidRDefault="002808B0"/>
    <w:p w:rsidR="009E7D89" w:rsidRDefault="009E7D89"/>
    <w:p w:rsidR="00284943" w:rsidRPr="00BD538C" w:rsidRDefault="00284943" w:rsidP="00BD538C">
      <w:pPr>
        <w:pStyle w:val="Caption"/>
        <w:keepNext/>
        <w:jc w:val="center"/>
        <w:rPr>
          <w:b w:val="0"/>
        </w:rPr>
      </w:pPr>
      <w:bookmarkStart w:id="4" w:name="_Ref208737401"/>
      <w:r>
        <w:t xml:space="preserve">Table </w:t>
      </w:r>
      <w:bookmarkEnd w:id="4"/>
      <w:r w:rsidR="000D415C">
        <w:t>3</w:t>
      </w:r>
      <w:r w:rsidR="00BD538C">
        <w:t xml:space="preserve">: </w:t>
      </w:r>
      <w:r w:rsidR="00BD538C">
        <w:rPr>
          <w:b w:val="0"/>
        </w:rPr>
        <w:t>EVM Labels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9E7D89" w:rsidTr="00C558DE">
        <w:tc>
          <w:tcPr>
            <w:tcW w:w="4428" w:type="dxa"/>
          </w:tcPr>
          <w:p w:rsidR="009E7D89" w:rsidRPr="00C558DE" w:rsidRDefault="009E7D89" w:rsidP="00C558DE">
            <w:pPr>
              <w:ind w:left="0"/>
              <w:jc w:val="center"/>
              <w:rPr>
                <w:b/>
              </w:rPr>
            </w:pPr>
            <w:r w:rsidRPr="00C558DE">
              <w:rPr>
                <w:b/>
              </w:rPr>
              <w:t>Label 1</w:t>
            </w:r>
          </w:p>
        </w:tc>
        <w:tc>
          <w:tcPr>
            <w:tcW w:w="4428" w:type="dxa"/>
          </w:tcPr>
          <w:p w:rsidR="009E7D89" w:rsidRPr="00C558DE" w:rsidRDefault="009E7D89" w:rsidP="00C558DE">
            <w:pPr>
              <w:ind w:left="0"/>
              <w:jc w:val="center"/>
              <w:rPr>
                <w:b/>
              </w:rPr>
            </w:pPr>
            <w:r w:rsidRPr="00C558DE">
              <w:rPr>
                <w:b/>
              </w:rPr>
              <w:t>Label</w:t>
            </w:r>
            <w:r w:rsidR="00A44AA4" w:rsidRPr="00C558DE">
              <w:rPr>
                <w:b/>
              </w:rPr>
              <w:t xml:space="preserve"> </w:t>
            </w:r>
            <w:r w:rsidRPr="00C558DE">
              <w:rPr>
                <w:b/>
              </w:rPr>
              <w:t>2</w:t>
            </w:r>
          </w:p>
        </w:tc>
      </w:tr>
      <w:tr w:rsidR="009E7D89" w:rsidTr="00C558DE">
        <w:tc>
          <w:tcPr>
            <w:tcW w:w="4428" w:type="dxa"/>
          </w:tcPr>
          <w:p w:rsidR="009E7D89" w:rsidRDefault="006574C5" w:rsidP="00C558DE">
            <w:pPr>
              <w:ind w:left="0"/>
              <w:jc w:val="center"/>
            </w:pPr>
            <w:r>
              <w:t>PWR167</w:t>
            </w:r>
          </w:p>
        </w:tc>
        <w:tc>
          <w:tcPr>
            <w:tcW w:w="4428" w:type="dxa"/>
          </w:tcPr>
          <w:p w:rsidR="009E7D89" w:rsidRDefault="007E1CD2" w:rsidP="00C558DE">
            <w:pPr>
              <w:ind w:left="0"/>
              <w:jc w:val="center"/>
            </w:pPr>
            <w:r>
              <w:t>LMZ34002</w:t>
            </w:r>
            <w:r w:rsidR="00D6708D">
              <w:t>R</w:t>
            </w:r>
            <w:r w:rsidR="006D558C">
              <w:t>KG</w:t>
            </w:r>
          </w:p>
        </w:tc>
      </w:tr>
    </w:tbl>
    <w:p w:rsidR="009E7D89" w:rsidRDefault="009E7D89"/>
    <w:p w:rsidR="00092C61" w:rsidRDefault="00092C61">
      <w:pPr>
        <w:pStyle w:val="Heading2"/>
      </w:pPr>
      <w:r>
        <w:t>NON-CONFORMING MATERIAL</w:t>
      </w:r>
    </w:p>
    <w:p w:rsidR="00F9047E" w:rsidRDefault="00092C61">
      <w:r>
        <w:t xml:space="preserve">If yield loss is 2% or less, scrap non-conforming units and adjust P.O. to reflect total amount shipped. </w:t>
      </w:r>
      <w:proofErr w:type="gramStart"/>
      <w:r>
        <w:t>If yield loss approaches or exceeds 5%, contact EVM coordinator for assistance.</w:t>
      </w:r>
      <w:proofErr w:type="gramEnd"/>
    </w:p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Pr="00F9047E" w:rsidRDefault="00F9047E" w:rsidP="00F9047E"/>
    <w:p w:rsidR="00F9047E" w:rsidRDefault="00F9047E" w:rsidP="00F9047E"/>
    <w:p w:rsidR="00F9047E" w:rsidRDefault="00F9047E" w:rsidP="00F9047E"/>
    <w:p w:rsidR="00092C61" w:rsidRPr="00F9047E" w:rsidRDefault="00F9047E" w:rsidP="00F9047E">
      <w:pPr>
        <w:tabs>
          <w:tab w:val="left" w:pos="7425"/>
        </w:tabs>
      </w:pPr>
      <w:r>
        <w:tab/>
      </w:r>
    </w:p>
    <w:sectPr w:rsidR="00092C61" w:rsidRPr="00F9047E" w:rsidSect="00740803">
      <w:pgSz w:w="12240" w:h="15840" w:code="1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B38" w:rsidRDefault="00215B38" w:rsidP="007E1CD2">
      <w:r>
        <w:separator/>
      </w:r>
    </w:p>
  </w:endnote>
  <w:endnote w:type="continuationSeparator" w:id="0">
    <w:p w:rsidR="00215B38" w:rsidRDefault="00215B38" w:rsidP="007E1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vletica">
    <w:altName w:val="Tahoma"/>
    <w:panose1 w:val="00000000000000000000"/>
    <w:charset w:val="00"/>
    <w:family w:val="roman"/>
    <w:notTrueType/>
    <w:pitch w:val="default"/>
    <w:sig w:usb0="0062EF24" w:usb1="BFF71826" w:usb2="00000000" w:usb3="3071EFC2" w:csb0="BFF9440C" w:csb1="0062EF54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B38" w:rsidRDefault="00215B38" w:rsidP="007E1CD2">
      <w:r>
        <w:separator/>
      </w:r>
    </w:p>
  </w:footnote>
  <w:footnote w:type="continuationSeparator" w:id="0">
    <w:p w:rsidR="00215B38" w:rsidRDefault="00215B38" w:rsidP="007E1C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07802"/>
    <w:multiLevelType w:val="multilevel"/>
    <w:tmpl w:val="C442D1F4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990"/>
        </w:tabs>
        <w:ind w:left="-90" w:firstLine="72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0740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B7F4260"/>
    <w:multiLevelType w:val="multilevel"/>
    <w:tmpl w:val="2E7470DE"/>
    <w:lvl w:ilvl="0">
      <w:start w:val="7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3">
    <w:nsid w:val="5A995BD8"/>
    <w:multiLevelType w:val="hybridMultilevel"/>
    <w:tmpl w:val="67D61C2E"/>
    <w:lvl w:ilvl="0" w:tplc="EC6A1F86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CD3C029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00E0D74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5CB2A164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EE54BB2A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BFF80D30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5E60F44C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BD167450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844CF2EC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">
    <w:nsid w:val="65B3496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0DF6291"/>
    <w:multiLevelType w:val="singleLevel"/>
    <w:tmpl w:val="2C9CBF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83D1360"/>
    <w:multiLevelType w:val="multilevel"/>
    <w:tmpl w:val="D5969396"/>
    <w:lvl w:ilvl="0">
      <w:start w:val="7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num w:numId="1">
    <w:abstractNumId w:val="6"/>
  </w:num>
  <w:num w:numId="2">
    <w:abstractNumId w:val="6"/>
    <w:lvlOverride w:ilvl="0">
      <w:lvl w:ilvl="0">
        <w:start w:val="7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3">
    <w:abstractNumId w:val="6"/>
    <w:lvlOverride w:ilvl="0">
      <w:lvl w:ilvl="0">
        <w:start w:val="7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4">
    <w:abstractNumId w:val="2"/>
  </w:num>
  <w:num w:numId="5">
    <w:abstractNumId w:val="2"/>
    <w:lvlOverride w:ilvl="0">
      <w:lvl w:ilvl="0">
        <w:start w:val="7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6">
    <w:abstractNumId w:val="2"/>
    <w:lvlOverride w:ilvl="0">
      <w:lvl w:ilvl="0">
        <w:start w:val="7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7">
    <w:abstractNumId w:val="4"/>
  </w:num>
  <w:num w:numId="8">
    <w:abstractNumId w:val="0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C5F"/>
    <w:rsid w:val="00005A6B"/>
    <w:rsid w:val="00005C6D"/>
    <w:rsid w:val="00013D38"/>
    <w:rsid w:val="0001618B"/>
    <w:rsid w:val="00083BEE"/>
    <w:rsid w:val="00092C61"/>
    <w:rsid w:val="000B2A88"/>
    <w:rsid w:val="000D33DD"/>
    <w:rsid w:val="000D415C"/>
    <w:rsid w:val="000E3326"/>
    <w:rsid w:val="00125CF0"/>
    <w:rsid w:val="001323A0"/>
    <w:rsid w:val="001812BF"/>
    <w:rsid w:val="001A3F7B"/>
    <w:rsid w:val="001B5880"/>
    <w:rsid w:val="00215B38"/>
    <w:rsid w:val="00225BB6"/>
    <w:rsid w:val="00232E84"/>
    <w:rsid w:val="00234C54"/>
    <w:rsid w:val="002808B0"/>
    <w:rsid w:val="00284943"/>
    <w:rsid w:val="0028788F"/>
    <w:rsid w:val="002A0302"/>
    <w:rsid w:val="002D5F4A"/>
    <w:rsid w:val="002E0330"/>
    <w:rsid w:val="002E2876"/>
    <w:rsid w:val="002F31F5"/>
    <w:rsid w:val="003353E5"/>
    <w:rsid w:val="0035303A"/>
    <w:rsid w:val="00376FC1"/>
    <w:rsid w:val="00377F53"/>
    <w:rsid w:val="003C0A9A"/>
    <w:rsid w:val="003D6C5F"/>
    <w:rsid w:val="003F2990"/>
    <w:rsid w:val="004033F1"/>
    <w:rsid w:val="00427D18"/>
    <w:rsid w:val="00470DA0"/>
    <w:rsid w:val="0048760A"/>
    <w:rsid w:val="004E5E87"/>
    <w:rsid w:val="00575F4B"/>
    <w:rsid w:val="005B2F19"/>
    <w:rsid w:val="005B34F9"/>
    <w:rsid w:val="005B68B8"/>
    <w:rsid w:val="00610F80"/>
    <w:rsid w:val="00615D9D"/>
    <w:rsid w:val="00621BE1"/>
    <w:rsid w:val="00623884"/>
    <w:rsid w:val="006574C5"/>
    <w:rsid w:val="00663C09"/>
    <w:rsid w:val="006657BD"/>
    <w:rsid w:val="00681649"/>
    <w:rsid w:val="006A5633"/>
    <w:rsid w:val="006B3396"/>
    <w:rsid w:val="006C5613"/>
    <w:rsid w:val="006D558C"/>
    <w:rsid w:val="006E5515"/>
    <w:rsid w:val="006F36DB"/>
    <w:rsid w:val="00701A47"/>
    <w:rsid w:val="00702083"/>
    <w:rsid w:val="00720C6E"/>
    <w:rsid w:val="00740803"/>
    <w:rsid w:val="00781293"/>
    <w:rsid w:val="00795DB6"/>
    <w:rsid w:val="007E0C27"/>
    <w:rsid w:val="007E1CD2"/>
    <w:rsid w:val="007E776A"/>
    <w:rsid w:val="00807282"/>
    <w:rsid w:val="0085639C"/>
    <w:rsid w:val="00864B9C"/>
    <w:rsid w:val="00873B2F"/>
    <w:rsid w:val="008819DC"/>
    <w:rsid w:val="00890937"/>
    <w:rsid w:val="008939B9"/>
    <w:rsid w:val="008967EC"/>
    <w:rsid w:val="008A79A0"/>
    <w:rsid w:val="008B7BF2"/>
    <w:rsid w:val="008C7B0B"/>
    <w:rsid w:val="008D20BE"/>
    <w:rsid w:val="008D5CA3"/>
    <w:rsid w:val="008D6878"/>
    <w:rsid w:val="008F7BBA"/>
    <w:rsid w:val="009044A9"/>
    <w:rsid w:val="009C031D"/>
    <w:rsid w:val="009E08D8"/>
    <w:rsid w:val="009E7D89"/>
    <w:rsid w:val="00A0190E"/>
    <w:rsid w:val="00A06770"/>
    <w:rsid w:val="00A07F49"/>
    <w:rsid w:val="00A34575"/>
    <w:rsid w:val="00A34889"/>
    <w:rsid w:val="00A3734C"/>
    <w:rsid w:val="00A44AA4"/>
    <w:rsid w:val="00A812FF"/>
    <w:rsid w:val="00A96842"/>
    <w:rsid w:val="00AE1647"/>
    <w:rsid w:val="00AF5808"/>
    <w:rsid w:val="00AF596F"/>
    <w:rsid w:val="00B510B9"/>
    <w:rsid w:val="00B5115D"/>
    <w:rsid w:val="00B6107E"/>
    <w:rsid w:val="00B703FC"/>
    <w:rsid w:val="00B93F66"/>
    <w:rsid w:val="00BA7B2E"/>
    <w:rsid w:val="00BD538C"/>
    <w:rsid w:val="00BD62DB"/>
    <w:rsid w:val="00BF544D"/>
    <w:rsid w:val="00C44D77"/>
    <w:rsid w:val="00C558DE"/>
    <w:rsid w:val="00C612FC"/>
    <w:rsid w:val="00C64D41"/>
    <w:rsid w:val="00C67A38"/>
    <w:rsid w:val="00CA4582"/>
    <w:rsid w:val="00CD0027"/>
    <w:rsid w:val="00CF3024"/>
    <w:rsid w:val="00D058C5"/>
    <w:rsid w:val="00D1372C"/>
    <w:rsid w:val="00D16524"/>
    <w:rsid w:val="00D300C3"/>
    <w:rsid w:val="00D42DAA"/>
    <w:rsid w:val="00D6708D"/>
    <w:rsid w:val="00D956F8"/>
    <w:rsid w:val="00DC017D"/>
    <w:rsid w:val="00DD0E65"/>
    <w:rsid w:val="00DD23D4"/>
    <w:rsid w:val="00DE5598"/>
    <w:rsid w:val="00E11040"/>
    <w:rsid w:val="00E1357A"/>
    <w:rsid w:val="00E7479F"/>
    <w:rsid w:val="00E8635C"/>
    <w:rsid w:val="00EB2A68"/>
    <w:rsid w:val="00EB3B76"/>
    <w:rsid w:val="00EB702B"/>
    <w:rsid w:val="00EF2EEC"/>
    <w:rsid w:val="00F3180E"/>
    <w:rsid w:val="00F445CB"/>
    <w:rsid w:val="00F67EF4"/>
    <w:rsid w:val="00F73D9A"/>
    <w:rsid w:val="00F90067"/>
    <w:rsid w:val="00F9047E"/>
    <w:rsid w:val="00FA3EFD"/>
    <w:rsid w:val="00FD2A54"/>
    <w:rsid w:val="00FD4028"/>
    <w:rsid w:val="00FD7446"/>
    <w:rsid w:val="00FF05C0"/>
    <w:rsid w:val="00FF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0803"/>
    <w:pPr>
      <w:ind w:left="720"/>
    </w:pPr>
    <w:rPr>
      <w:rFonts w:ascii="Helvetica" w:hAnsi="Helvetica"/>
    </w:rPr>
  </w:style>
  <w:style w:type="paragraph" w:styleId="Heading1">
    <w:name w:val="heading 1"/>
    <w:basedOn w:val="Normal"/>
    <w:next w:val="Normal"/>
    <w:qFormat/>
    <w:rsid w:val="00740803"/>
    <w:pPr>
      <w:keepNext/>
      <w:numPr>
        <w:numId w:val="8"/>
      </w:numPr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740803"/>
    <w:pPr>
      <w:keepNext/>
      <w:numPr>
        <w:ilvl w:val="1"/>
        <w:numId w:val="8"/>
      </w:numPr>
      <w:spacing w:before="240" w:after="60"/>
      <w:outlineLvl w:val="1"/>
    </w:pPr>
    <w:rPr>
      <w:rFonts w:ascii="hevletica" w:hAnsi="hevletica"/>
      <w:b/>
      <w:u w:val="single"/>
    </w:rPr>
  </w:style>
  <w:style w:type="paragraph" w:styleId="Heading3">
    <w:name w:val="heading 3"/>
    <w:basedOn w:val="Normal"/>
    <w:next w:val="Normal"/>
    <w:qFormat/>
    <w:rsid w:val="00740803"/>
    <w:pPr>
      <w:keepNext/>
      <w:numPr>
        <w:ilvl w:val="2"/>
        <w:numId w:val="8"/>
      </w:numPr>
      <w:spacing w:before="120" w:after="60"/>
      <w:outlineLvl w:val="2"/>
    </w:pPr>
  </w:style>
  <w:style w:type="paragraph" w:styleId="Heading4">
    <w:name w:val="heading 4"/>
    <w:basedOn w:val="Normal"/>
    <w:next w:val="Normal"/>
    <w:qFormat/>
    <w:rsid w:val="00740803"/>
    <w:pPr>
      <w:keepNext/>
      <w:numPr>
        <w:ilvl w:val="3"/>
        <w:numId w:val="8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740803"/>
    <w:pPr>
      <w:numPr>
        <w:ilvl w:val="4"/>
        <w:numId w:val="8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40803"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rsid w:val="00740803"/>
    <w:pPr>
      <w:numPr>
        <w:ilvl w:val="6"/>
        <w:numId w:val="8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740803"/>
    <w:pPr>
      <w:numPr>
        <w:ilvl w:val="7"/>
        <w:numId w:val="8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740803"/>
    <w:pPr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740803"/>
  </w:style>
  <w:style w:type="paragraph" w:styleId="BodyTextIndent2">
    <w:name w:val="Body Text Indent 2"/>
    <w:basedOn w:val="Normal"/>
    <w:rsid w:val="00740803"/>
    <w:pPr>
      <w:jc w:val="both"/>
    </w:pPr>
  </w:style>
  <w:style w:type="paragraph" w:styleId="BalloonText">
    <w:name w:val="Balloon Text"/>
    <w:basedOn w:val="Normal"/>
    <w:semiHidden/>
    <w:rsid w:val="002E0330"/>
    <w:rPr>
      <w:rFonts w:ascii="Tahoma" w:hAnsi="Tahoma" w:cs="Tahoma"/>
      <w:sz w:val="16"/>
      <w:szCs w:val="16"/>
    </w:rPr>
  </w:style>
  <w:style w:type="character" w:customStyle="1" w:styleId="EmailStyle18">
    <w:name w:val="EmailStyle181"/>
    <w:aliases w:val="EmailStyle181"/>
    <w:basedOn w:val="DefaultParagraphFont"/>
    <w:semiHidden/>
    <w:personal/>
    <w:personalCompose/>
    <w:rsid w:val="009E7D89"/>
    <w:rPr>
      <w:rFonts w:ascii="Arial" w:hAnsi="Arial" w:cs="Arial"/>
      <w:color w:val="auto"/>
      <w:sz w:val="20"/>
      <w:szCs w:val="20"/>
    </w:rPr>
  </w:style>
  <w:style w:type="table" w:styleId="TableGrid">
    <w:name w:val="Table Grid"/>
    <w:basedOn w:val="TableNormal"/>
    <w:rsid w:val="009E7D89"/>
    <w:pPr>
      <w:ind w:left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284943"/>
    <w:rPr>
      <w:b/>
      <w:bCs/>
    </w:rPr>
  </w:style>
  <w:style w:type="paragraph" w:customStyle="1" w:styleId="para">
    <w:name w:val="para"/>
    <w:rsid w:val="00377F53"/>
    <w:pPr>
      <w:keepLines/>
      <w:tabs>
        <w:tab w:val="left" w:pos="63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180"/>
      <w:ind w:left="640"/>
    </w:pPr>
    <w:rPr>
      <w:rFonts w:ascii="Helvetica" w:hAnsi="Helvetica"/>
      <w:snapToGrid w:val="0"/>
      <w:sz w:val="22"/>
    </w:rPr>
  </w:style>
  <w:style w:type="paragraph" w:styleId="DocumentMap">
    <w:name w:val="Document Map"/>
    <w:basedOn w:val="Normal"/>
    <w:semiHidden/>
    <w:rsid w:val="00376FC1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link w:val="HeaderChar"/>
    <w:rsid w:val="007E1C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E1CD2"/>
    <w:rPr>
      <w:rFonts w:ascii="Helvetica" w:hAnsi="Helvetica"/>
    </w:rPr>
  </w:style>
  <w:style w:type="paragraph" w:styleId="Footer">
    <w:name w:val="footer"/>
    <w:basedOn w:val="Normal"/>
    <w:link w:val="FooterChar"/>
    <w:rsid w:val="007E1C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E1CD2"/>
    <w:rPr>
      <w:rFonts w:ascii="Helvetica" w:hAnsi="Helveti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B9E3F5-C150-45ED-91B6-04733F648B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5AE45B-E94A-46BD-9417-3E60A634C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9A9F3A-AC5D-49B0-BDAC-844DF88E8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PROCEDURE FORMAT</vt:lpstr>
    </vt:vector>
  </TitlesOfParts>
  <Company>Texas Instruments, Inc.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FORMAT</dc:title>
  <dc:subject>PROCEDURES</dc:subject>
  <dc:creator>KENNY LOLLER</dc:creator>
  <cp:lastModifiedBy>James E. McTeague</cp:lastModifiedBy>
  <cp:revision>3</cp:revision>
  <cp:lastPrinted>2010-09-22T16:03:00Z</cp:lastPrinted>
  <dcterms:created xsi:type="dcterms:W3CDTF">2013-05-22T16:16:00Z</dcterms:created>
  <dcterms:modified xsi:type="dcterms:W3CDTF">2013-05-22T16:19:00Z</dcterms:modified>
</cp:coreProperties>
</file>